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VANESA VALENCIANO PARDO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VANESA VALENCIANO PARDO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http://vanesavalencianopardo.MiCVweb.com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JARA ESTILISTA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4/2015-6/2015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Imagen personal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GUADALAJARA (GUADALAJARA)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ATENCIÓN Y TRATO CON EL CLIENTE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LABORES DE CAJA. APERTURAS Y CIERRES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MANICURA NORMAL Y SEMIPERMANENTE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DEPILACIÓN CON CERA CALIENTE Y TIBIA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TRATAMIENTOS FACIALES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TRATAMIENTOS CORPORALES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PRIMARK TIENDAS,  S.L.U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7/2014-1/2015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(Arquitectura)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Dependiente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TORREJON  DE ARDOZ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LABORES DE CAJA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ATENCIÓN AL CLIENTE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COLOCACIÓN Y DISTRIBUCIÓN DE PRODUCTOS DEL ALMACEN Y REPOSICIÓN DE LOS MISMOS.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TOYS R US IBERIA SAU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11/2012-1/2013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Dependiente 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LABORES DE CAJA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ATENCIÓN AL CLIENTE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COLOCACIÓN Y DISTRIBUCIÓN DE PRODUCTOS DEL ALMACEN Y REPOSICIÓN DE LOS MISMOS.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TORREJON  DE ARDOZ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CICLO FORMATICO DE ESTETICA INTEGRAL Y BIENESTAR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I.E.S. LUIS DE LUCENA. GUADALAJARA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CURSO DE ESPECIALISTA EN LOGISTICA Y COMPRAS (300 HORAS)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GRUPO FEMXA. CABANILLAS DEL CAMPO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BACHILLERATO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5/2010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Humanidades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I.E.S. BRIANDA DE MENDOZA. GUADALAJARA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