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Helen roxana Quichimbo loor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Polifunsional seguridad privada servicios varios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http://helenquichimbo.MiCVweb.com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Superae y dar lo mejor de mi crecer profesionalmente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Inalecsa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10/2011-6/2016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Producción, taller y fábrica (Otras (No se especifica))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Auxiliar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Giayaquil (Guayas)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Auxiliar en proceso bodega logistica mantenimiento limpieza de maquinas y varios proceao de maquina etiquetado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Guaypro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5/2008-7/2010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Seguridad/Vigilancia (Atención al cliente)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Teleoperador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Giayaquil Ecuador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Vigilancia fija en el hospital vernaza complejo la salle medikal y varias partes mas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Bahia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4/2004-3/2007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 (Logística - Distribución)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Almacenera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Varios procesoa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Giayaquil Ecuador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Ciencias en administracion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3/2004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Informatica . Informática y nuevas tecnologías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Martha de roldos. Gye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Gypasec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Curso de 120 horas de seguridad y vigilancia. Turismo y Otros Servicios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Cendcapc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Relaciones personales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Servicio al cliente buenas relaciones interpesonalea. Humanidades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Ina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