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http://ma_mauritanio.MiCVweb.com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sin título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Educación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Joaquín V Gonzalez.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Nueva Escuela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10/2010-3/0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telefónica y personal de alumnos y docentes.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Manejo de documentación.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Control y seguimiento de asistencia de alumnos.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Control de ausentismo de docentes y personal  administrativo.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Seguimiento Art.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Redacción de comunicaciones internas.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Atención a inspectores por Escuelas Seguras y Gobierno de la Ciudad, Anses, Sindicatos, Obras sociales.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Referente interno ante el Gobierno de la Ciudad de seguridad e higiene.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Dictado de capacitaciones y roles para evacuación.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Armado de capacitaciones según necesidades registradas en las diferentes áreas.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Manejo y confección de documentación para Art, Afip, Anses , Caja Complementaria, Migraciones y Unidad Ejecutora del Gobierno de la Ciudad de Buenos Aires.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Manejo de agendas.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Confección de legajos.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Confección de certificaciones de trabajo y art 80 LCT.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Reuniones con sindicato.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Envío y seguimiento de médico laboral.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Redacción y aplicación de sanciones.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Proyectar Connect S.A. - Personal Argentina S.A.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3/2005-11/2010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Supervisora de turno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Auditorías a los agentes y teams para detectar posibles desvíos.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Coaching para operadores y team leader-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Control y seguimiento de ausentismo de la planta (aproximadamente 130 agentes) con el registro correspondiente al Dpto. de Recursos Humanos.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Confección de estadísticas/reportes a la Gerencia.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•</w:t>
                    <w:tab/>
                    <w:t xml:space="preserve">Seguimiento de métricas y desvíos.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Centro de Estudios del Buen AYre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 la docencia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