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943069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69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Katherine Elizabeth Velasco Pazmiño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  <w:r>
        <w:rPr/>
        <w:t xml:space="preserve">Msc en Planificación Estratégica / Ing en Negocios Internacionales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Expalsa Exportadora de Alimentos S.A.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3/2018-5/2018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Agricultura, ganadería y Pesca (Logística - Distribución)</w:t>
            </w:r>
            <w:r>
              <w:rPr>
                <w:lang w:val="es-ES"/>
              </w:rPr>
              <w:t xml:space="preserve"> Ingeniera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Guayaquil (Guayas)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-Ingreso de facturas de transporte en COEXT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-Registro de facturas de puertos o terminales COEXT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-Liquidación de facturas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-Hoja de movimiento y lista de empaque en SPRO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-AISV: Contecon, Naportec y TPG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-Proformas de B/L  APL, ONE, CMA  y carta de temperatura 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-Revisión, corrección y aprobación de B/L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-Anticipos de pago a navieras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-Revisión de certificados: origen, sanitario y calidad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-Ingreso de certificado de origen ECUAPASS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-Ingreso de certificado sanitario ECUAPASS/TRACES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-Órdenes de pago VUE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-Remisión de certificados sanitarios Propios formatos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-Remisión de certificados sanitarios TRACES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Banco Bolivariano C.A.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4/2014-9/2016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Otro no especificado (Otras (No se especifica))</w:t>
            </w:r>
            <w:r>
              <w:rPr>
                <w:lang w:val="es-ES"/>
              </w:rPr>
              <w:t xml:space="preserve"> Ingeniera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Guayaquil Ecuador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Garantías bancarias, garantías aduaneras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-Apertura, enmienda y cierre  dar de baja 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-Recepción de oficios para renovación o pago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-Ejecución o pago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-Cancelación del cliente 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-Apertura, ejecución y negociación de avales bancarios y Bancoldex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-Cobranza avalizada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-Carta de crédito doméstica: apertura y negociación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Cartas de crédito de importación CCI 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-Apertura y enmienda de cartas de crédito de importación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-Recepción de documentos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-Cancelación al exterior y del cliente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-Descarga y contestación de Swift 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-Revisión de documentos, aceptación de discrepancias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-Carta almacenera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-Endoso de documentos 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-Solicitud de liberación automática de documentos LAD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Cobranza documentaria de importación CDI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-Cobro de comisiones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-Abono y cancelación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-Apertura y enmienda de financiamientos FCI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Federación Ecuatoriana de Ciclismo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8/2013-10/2014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Cultura, ocio y deporte (Traducción)</w:t>
            </w:r>
            <w:r>
              <w:rPr>
                <w:lang w:val="es-ES"/>
              </w:rPr>
              <w:t xml:space="preserve"> Ingeniera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Guayaquil Ecuador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Traducción de facturas de compras realizadas por deportistas en el extranjero </w:t>
            </w: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Master en Planificación Estratégica de man Empresa, Análisis y Toma de Decisiones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8/2017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Master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Administración y Dirección de Empresas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Universidad Rey Juan Carlos . Madrid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Ingeniería en Negocios Internacionales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2/2013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Ingeniero Superior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Otra no especifiada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Escuela Superior Politécnica del Litoral. Guayaquil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Inglés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 Avanzado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Francés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Nivel Intermedio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Ofimatica (Word, Excell,…)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Asistente en Gestión Presupuestaria y Administración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Nivel: Nivel Avanzado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Otro no especificado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SPSS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Nivel: Nivel Intermedio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http://kthy_velasco.MiCVweb.com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