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77439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Adrian Martinez Martinez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http://adrian25690.MiCVweb.com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Iberia vitae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9/2012-3/2019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Sangonera La Seca (Murcia)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Encargado de limpiezas y servicios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Educación secundaria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6/2006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-- Selecciona --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I.E.S. Sanje. Alcantarilla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He estado trabajando en un almacén.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Fácil adaptación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Permiso de conducir tipo B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Vehículo propio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Disponibilidad horaria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