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3392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Javier Cortés de los Reyes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Hotel Guadalquivir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9/2014-1/2019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Sanlúcar de Barrameeda (Cádiz)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Trabajo de cocina y comedor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Grado Medio Cocina y Gastronomia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FP2 / Grado Medio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Hostelería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El Picacho. Sanlúcar de Barrameda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Grado Superior Prevencion de Riesgos Laborales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Prevención de Riesgos Laborales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Doñana. Sanlúcar de Barrameda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Bachillerato /Superior PRL/ Cocina y Gastronomia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9/2004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Pacheco. Sanlúcar de Barrameda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Enologia, vinos, licores y aguardientes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Hostelería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CCOO Fundación Tripartita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Trazabilidad, seguridad y sistemas de control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Hostelería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CCOO Fundación Tripartita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Especializacion de Aditivos Alimentarios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-- Selecciona --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Federacion internacional de Alimentacion y Bebidas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Ofimatica (Word, Excell,…)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Gestion Integrada de RRHH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Avanzado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http://ajaviviz.MiCVweb.com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