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Edwin Ruiz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http://Yajairaruiz1107.MiCVweb.com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Mecanismo automotriz 2 0/2005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Mecanismo automotriz 2.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Infoted . Santo domingo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Baldom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0/2011-0/2019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Pedro brand (Santos domingo 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Mecánico automotriz 2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