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Minimercado LA NONITA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5/2014-7/2014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Repositor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Primario Completo 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12/2009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Marcelo Palentini Bº 25 de Mayp. Palpala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http://Paredesnestorfabian1265.MiCVweb.com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