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873975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75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Hotel helios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He trabajado como camarera de pisos, limpiadora de edificios, envasadora y monitora de bus. Con ello tengo bastante experiencia en la limpieza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6/1980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Virgen Madre, Torrecuevas. Almuñécar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Camarera de pisos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Mucha experiencia. Turismo y Otros Servicios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Inen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http://Terevallejofranco65.MiCVweb.com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